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Travel and Expense Policy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Policies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Purpose and scope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policy applies to all employees, workers, contractors, interns, and temporary staff of [COMPANY_NAME] unless a local addendum states otherwise.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Managers are responsible for applying this policy consistently. HR is responsible for maintaining the policy, answering questions, and escalating legal or high-risk issues.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Approval and limits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Category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Default rule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Approval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Flights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Economy unless policy exception applies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Manager and finance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Hotels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Reasonable business hotel near work location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Manager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Meals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Within local daily limit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Manager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Client entertainment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Business purpose and attendee list required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Manager and finance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Receipts, reimbursement, and audit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Submit expenses promptly with itemized receipts and business purpose.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Alcohol, gifts, upgrades, personal travel, and foreign exchange treatment must follow local rules.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Finance may audit expense claims and recover improper payments where lawful.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Travel and Expense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Expense Policy</dc:title>
  <dc:creator>Atlas HR</dc:creator>
  <dc:description>Travel and Expense Policy generated by Atlas HR</dc:description>
  <cp:lastModifiedBy>Un-named</cp:lastModifiedBy>
  <cp:revision>1</cp:revision>
  <dcterms:created xsi:type="dcterms:W3CDTF">2026-06-12T13:56:43.267Z</dcterms:created>
  <dcterms:modified xsi:type="dcterms:W3CDTF">2026-06-12T13:56:43.267Z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